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450E6"/>
          <w:sz w:val="17"/>
        </w:rPr>
        <w:t>MODELO DE REFERÊNCIA · LEI Nº 14.133/2021</w:t>
      </w:r>
    </w:p>
    <w:p>
      <w:pPr>
        <w:pStyle w:val="Title"/>
      </w:pPr>
      <w:r>
        <w:t>TERMO DE REFERÊNCIA</w:t>
      </w:r>
    </w:p>
    <w:p>
      <w:pPr>
        <w:jc w:val="both"/>
      </w:pPr>
      <w:r>
        <w:rPr>
          <w:b w:val="0"/>
          <w:color w:val="5F5F66"/>
          <w:sz w:val="22"/>
        </w:rPr>
        <w:t>Contratação de solução de software como serviço (SaaS) para monitoramento, análise e inteligência de imagem pública institucional, com implantação, treinamento e suporte técnico.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118"/>
            <w:shd w:val="clear" w:color="auto" w:fill="F2F4FA"/>
          </w:tcPr>
          <w:p>
            <w:r/>
            <w:r>
              <w:rPr>
                <w:b/>
                <w:sz w:val="18"/>
              </w:rPr>
              <w:t>Órgão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8"/>
                <w:highlight w:val="yellow"/>
              </w:rPr>
              <w:t>[NOME DO ÓRGÃO]</w:t>
            </w:r>
          </w:p>
        </w:tc>
      </w:tr>
      <w:tr>
        <w:tc>
          <w:tcPr>
            <w:tcW w:type="dxa" w:w="3118"/>
            <w:shd w:val="clear" w:color="auto" w:fill="F2F4FA"/>
          </w:tcPr>
          <w:p>
            <w:r/>
            <w:r>
              <w:rPr>
                <w:b/>
                <w:sz w:val="18"/>
              </w:rPr>
              <w:t>Unidade requisitante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8"/>
                <w:highlight w:val="yellow"/>
              </w:rPr>
              <w:t>[UNIDADE REQUISITANTE]</w:t>
            </w:r>
          </w:p>
        </w:tc>
      </w:tr>
      <w:tr>
        <w:tc>
          <w:tcPr>
            <w:tcW w:type="dxa" w:w="3118"/>
            <w:shd w:val="clear" w:color="auto" w:fill="F2F4FA"/>
          </w:tcPr>
          <w:p>
            <w:r/>
            <w:r>
              <w:rPr>
                <w:b/>
                <w:sz w:val="18"/>
              </w:rPr>
              <w:t>Processo administrativo nº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8"/>
                <w:highlight w:val="yellow"/>
              </w:rPr>
              <w:t>[Nº DO PROCESSO]</w:t>
            </w:r>
          </w:p>
        </w:tc>
      </w:tr>
      <w:tr>
        <w:tc>
          <w:tcPr>
            <w:tcW w:type="dxa" w:w="3118"/>
            <w:shd w:val="clear" w:color="auto" w:fill="F2F4FA"/>
          </w:tcPr>
          <w:p>
            <w:r/>
            <w:r>
              <w:rPr>
                <w:b/>
                <w:sz w:val="18"/>
              </w:rPr>
              <w:t>Estudo Técnico Preliminar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8"/>
              </w:rPr>
              <w:t xml:space="preserve">ETP nº </w:t>
            </w:r>
            <w:r>
              <w:rPr>
                <w:b w:val="0"/>
                <w:sz w:val="18"/>
                <w:highlight w:val="yellow"/>
              </w:rPr>
              <w:t>[Nº/ANO]</w:t>
            </w:r>
          </w:p>
        </w:tc>
      </w:tr>
      <w:tr>
        <w:tc>
          <w:tcPr>
            <w:tcW w:type="dxa" w:w="3118"/>
            <w:shd w:val="clear" w:color="auto" w:fill="F2F4FA"/>
          </w:tcPr>
          <w:p>
            <w:r/>
            <w:r>
              <w:rPr>
                <w:b/>
                <w:sz w:val="18"/>
              </w:rPr>
              <w:t>Responsável pela elaboração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8"/>
                <w:highlight w:val="yellow"/>
              </w:rPr>
              <w:t>[NOME, CARGO E MATRÍCULA]</w:t>
            </w:r>
          </w:p>
        </w:tc>
      </w:tr>
      <w:tr>
        <w:tc>
          <w:tcPr>
            <w:tcW w:type="dxa" w:w="3118"/>
            <w:shd w:val="clear" w:color="auto" w:fill="F2F4FA"/>
          </w:tcPr>
          <w:p>
            <w:r/>
            <w:r>
              <w:rPr>
                <w:b/>
                <w:sz w:val="18"/>
              </w:rPr>
              <w:t>Local e data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  <w:sz w:val="18"/>
                <w:highlight w:val="yellow"/>
              </w:rPr>
              <w:t>[MUNICÍPIO/UF]</w:t>
            </w:r>
            <w:r>
              <w:rPr>
                <w:b w:val="0"/>
                <w:sz w:val="18"/>
              </w:rPr>
              <w:t xml:space="preserve">, </w:t>
            </w:r>
            <w:r>
              <w:rPr>
                <w:b w:val="0"/>
                <w:sz w:val="18"/>
                <w:highlight w:val="yellow"/>
              </w:rPr>
              <w:t>[DATA]</w:t>
            </w:r>
          </w:p>
        </w:tc>
      </w:tr>
    </w:tbl>
    <w:p>
      <w:pPr>
        <w:spacing w:before="200"/>
      </w:pPr>
      <w:r>
        <w:rPr>
          <w:b/>
          <w:sz w:val="18"/>
        </w:rPr>
        <w:t xml:space="preserve">Aviso: </w:t>
      </w:r>
      <w:r>
        <w:rPr>
          <w:b w:val="0"/>
          <w:color w:val="5F5F66"/>
          <w:sz w:val="18"/>
        </w:rPr>
        <w:t>Modelo de referência. Adapte à realidade do órgão e submeta à assessoria jurídica. Este texto não constitui parecer ou orientação jurídica; a conformidade de cada contratação depende da instrução do processo, da legislação local e dos regulamentos aplicáveis ao órgão.</w:t>
      </w:r>
    </w:p>
    <w:p>
      <w:r>
        <w:rPr>
          <w:b w:val="0"/>
          <w:color w:val="5F5F66"/>
          <w:sz w:val="17"/>
        </w:rPr>
        <w:t>Versão 1.0 · atualizado em 11 de outubro de 2026</w:t>
      </w:r>
    </w:p>
    <w:p>
      <w:pPr>
        <w:pStyle w:val="Heading1"/>
      </w:pPr>
      <w:r>
        <w:t>1. DO OBJETO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1.1</w:t>
        <w:tab/>
      </w:r>
      <w:r>
        <w:rPr>
          <w:b w:val="0"/>
        </w:rPr>
        <w:t xml:space="preserve">Contratação de solução de tecnologia da informação, na modalidade de software como serviço (SaaS), para monitoramento multifontes, análise e inteligência de imagem pública do(a) </w:t>
      </w:r>
      <w:r>
        <w:rPr>
          <w:b w:val="0"/>
          <w:highlight w:val="yellow"/>
        </w:rPr>
        <w:t>[NOME DO ÓRGÃO]</w:t>
      </w:r>
      <w:r>
        <w:rPr>
          <w:b w:val="0"/>
        </w:rPr>
        <w:t xml:space="preserve"> e de seus porta-vozes, incluindo implantação, treinamento, suporte técnico e manutenção, nas condições, quantidades e exigências estabelecidas neste Termo de Referência e em seus anexos.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1.2</w:t>
        <w:tab/>
      </w:r>
      <w:r>
        <w:rPr>
          <w:b w:val="0"/>
        </w:rPr>
        <w:t>Os itens, quantitativos e unidades de fornecimento constam do Anexo I — Planilha de itens. O órgão deverá selecionar a faixa de subscrição (itens 1, 2 ou 3) compatível com o dimensionamento realizado no Estudo Técnico Preliminar.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1.3</w:t>
        <w:tab/>
      </w:r>
      <w:r>
        <w:rPr>
          <w:b w:val="0"/>
        </w:rPr>
        <w:t>O objeto caracteriza-se como serviço comum de tecnologia da informação, nos termos do art. 6º, XIII, da Lei nº 14.133/2021, por possuir padrões de desempenho e qualidade que podem ser objetivamente definidos por meio de especificações usuais de mercado.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1.4</w:t>
        <w:tab/>
      </w:r>
      <w:r>
        <w:rPr>
          <w:b w:val="0"/>
        </w:rPr>
        <w:t xml:space="preserve">O prazo de vigência do contrato será de </w:t>
      </w:r>
      <w:r>
        <w:rPr>
          <w:b w:val="0"/>
          <w:highlight w:val="yellow"/>
        </w:rPr>
        <w:t>[12 (doze)]</w:t>
      </w:r>
      <w:r>
        <w:rPr>
          <w:b w:val="0"/>
        </w:rPr>
        <w:t xml:space="preserve"> meses, contados da </w:t>
      </w:r>
      <w:r>
        <w:rPr>
          <w:b w:val="0"/>
          <w:highlight w:val="yellow"/>
        </w:rPr>
        <w:t>[data de assinatura | data da ordem de serviço]</w:t>
      </w:r>
      <w:r>
        <w:rPr>
          <w:b w:val="0"/>
        </w:rPr>
        <w:t>, podendo ser prorrogado por se tratar de serviço de natureza continuada, observados os arts. 106 e 107 da Lei nº 14.133/2021, desde que haja previsão no edital, que a autoridade competente ateste que as condições e os preços permanecem vantajosos e que haja disponibilidade orçamentária.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1.5</w:t>
        <w:tab/>
      </w:r>
      <w:r>
        <w:rPr>
          <w:b w:val="0"/>
        </w:rPr>
        <w:t xml:space="preserve">A contratação </w:t>
      </w:r>
      <w:r>
        <w:rPr>
          <w:b w:val="0"/>
          <w:highlight w:val="yellow"/>
        </w:rPr>
        <w:t>[está | não está]</w:t>
      </w:r>
      <w:r>
        <w:rPr>
          <w:b w:val="0"/>
        </w:rPr>
        <w:t xml:space="preserve"> prevista no Plano de Contratações Anual </w:t>
      </w:r>
      <w:r>
        <w:rPr>
          <w:b w:val="0"/>
          <w:highlight w:val="yellow"/>
        </w:rPr>
        <w:t>[ANO]</w:t>
      </w:r>
      <w:r>
        <w:rPr>
          <w:b w:val="0"/>
        </w:rPr>
        <w:t xml:space="preserve"> do órgão, item </w:t>
      </w:r>
      <w:r>
        <w:rPr>
          <w:b w:val="0"/>
          <w:highlight w:val="yellow"/>
        </w:rPr>
        <w:t>[Nº]</w:t>
      </w:r>
      <w:r>
        <w:rPr>
          <w:b w:val="0"/>
        </w:rPr>
        <w:t>, conforme art. 12, VII, da Lei nº 14.133/2021.</w:t>
      </w:r>
    </w:p>
    <w:p>
      <w:pPr>
        <w:pStyle w:val="Heading1"/>
      </w:pPr>
      <w:r>
        <w:t>2. DA FUNDAMENTAÇÃO E DESCRIÇÃO DA NECESSIDADE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2.1</w:t>
        <w:tab/>
      </w:r>
      <w:r>
        <w:rPr>
          <w:b w:val="0"/>
        </w:rPr>
        <w:t xml:space="preserve">A fundamentação da contratação e seus quantitativos encontra-se pormenorizada no Estudo Técnico Preliminar nº </w:t>
      </w:r>
      <w:r>
        <w:rPr>
          <w:b w:val="0"/>
          <w:highlight w:val="yellow"/>
        </w:rPr>
        <w:t>[Nº/ANO]</w:t>
      </w:r>
      <w:r>
        <w:rPr>
          <w:b w:val="0"/>
        </w:rPr>
        <w:t>, elaborado nos termos do art. 18, § 1º, da Lei nº 14.133/2021, que integra o processo administrativo.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2.2</w:t>
        <w:tab/>
      </w:r>
      <w:r>
        <w:rPr>
          <w:b w:val="0"/>
        </w:rPr>
        <w:t xml:space="preserve">O(A) </w:t>
      </w:r>
      <w:r>
        <w:rPr>
          <w:b w:val="0"/>
          <w:highlight w:val="yellow"/>
        </w:rPr>
        <w:t>[NOME DO ÓRGÃO]</w:t>
      </w:r>
      <w:r>
        <w:rPr>
          <w:b w:val="0"/>
        </w:rPr>
        <w:t xml:space="preserve"> necessita acompanhar, de forma contínua, tempestiva e documentada, a percepção pública sobre sua atuação institucional e sobre as manifestações de seus membros e porta-vozes, em veículos de imprensa, portais, blogs, publicações oficiais e perfis públicos em redes sociais.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2.3</w:t>
        <w:tab/>
      </w:r>
      <w:r>
        <w:rPr>
          <w:b w:val="0"/>
        </w:rPr>
        <w:t>A necessidade decorre, entre outros fatores, de:</w:t>
      </w:r>
    </w:p>
    <w:p>
      <w:pPr>
        <w:pStyle w:val="ListBullet"/>
        <w:ind w:left="907"/>
        <w:jc w:val="both"/>
      </w:pPr>
      <w:r>
        <w:rPr>
          <w:b w:val="0"/>
        </w:rPr>
        <w:t>volume de publicações incompatível com o acompanhamento manual (clipping), com risco de perda de informações relevantes e de resposta intempestiva;</w:t>
      </w:r>
    </w:p>
    <w:p>
      <w:pPr>
        <w:pStyle w:val="ListBullet"/>
        <w:ind w:left="907"/>
        <w:jc w:val="both"/>
      </w:pPr>
      <w:r>
        <w:rPr>
          <w:b w:val="0"/>
        </w:rPr>
        <w:t>necessidade de identificar precocemente situações de crise de imagem e de desinformação que afetem a instituição ou o serviço prestado à sociedade;</w:t>
      </w:r>
    </w:p>
    <w:p>
      <w:pPr>
        <w:pStyle w:val="ListBullet"/>
        <w:ind w:left="907"/>
        <w:jc w:val="both"/>
      </w:pPr>
      <w:r>
        <w:rPr>
          <w:b w:val="0"/>
        </w:rPr>
        <w:t>necessidade de alinhar o discurso de porta-vozes à posição institucional, reduzindo divergências públicas;</w:t>
      </w:r>
    </w:p>
    <w:p>
      <w:pPr>
        <w:pStyle w:val="ListBullet"/>
        <w:ind w:left="907"/>
        <w:jc w:val="both"/>
      </w:pPr>
      <w:r>
        <w:rPr>
          <w:b w:val="0"/>
        </w:rPr>
        <w:t>necessidade de produzir relatórios periódicos e indicadores objetivos para a gestão, o controle interno e a prestação de contas;</w:t>
      </w:r>
    </w:p>
    <w:p>
      <w:pPr>
        <w:pStyle w:val="ListBullet"/>
        <w:ind w:left="907"/>
        <w:jc w:val="both"/>
      </w:pPr>
      <w:r>
        <w:rPr>
          <w:b w:val="0"/>
        </w:rPr>
        <w:t>necessidade de conhecer a percepção da população sobre serviços e políticas do órgão, com recorte territorial;</w:t>
      </w:r>
    </w:p>
    <w:p>
      <w:pPr>
        <w:pStyle w:val="ListBullet"/>
        <w:ind w:left="907"/>
        <w:jc w:val="both"/>
      </w:pPr>
      <w:r>
        <w:rPr>
          <w:b w:val="0"/>
        </w:rPr>
        <w:t>dever de observar a Lei nº 13.709/2018 (LGPD) no tratamento de dados pessoais eventualmente contidos em conteúdos públicos monitorados.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2.4</w:t>
        <w:tab/>
      </w:r>
      <w:r>
        <w:rPr>
          <w:b w:val="0"/>
        </w:rPr>
        <w:t xml:space="preserve">Os resultados pretendidos incluem: redução do tempo entre a publicação de um conteúdo relevante e o conhecimento pela unidade de comunicação; padronização das respostas institucionais; e disponibilidade de séries históricas e indicadores para apoio à decisão. </w:t>
      </w:r>
      <w:r>
        <w:rPr>
          <w:b w:val="0"/>
          <w:highlight w:val="yellow"/>
        </w:rPr>
        <w:t>[AJUSTAR CONFORME O ETP]</w:t>
      </w:r>
    </w:p>
    <w:p>
      <w:pPr>
        <w:pStyle w:val="Heading1"/>
      </w:pPr>
      <w:r>
        <w:t>3. DA DESCRIÇÃO DA SOLUÇÃO COMO UM TODO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3.1</w:t>
        <w:tab/>
      </w:r>
      <w:r>
        <w:rPr>
          <w:b w:val="0"/>
        </w:rPr>
        <w:t>A solução consiste em plataforma web, acessada por navegador, fornecida em modelo de subscrição (SaaS), hospedada e mantida pela contratada, que coleta conteúdos públicos de múltiplas fontes, classifica-os com apoio de inteligência artificial e disponibiliza à equipe do órgão painéis, alertas, perfis de entidades, ferramentas de alinhamento de comunicação, sala de crise, pesquisas de percepção georreferenciadas e relatórios.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3.2</w:t>
        <w:tab/>
      </w:r>
      <w:r>
        <w:rPr>
          <w:b w:val="0"/>
        </w:rPr>
        <w:t>A solução deve ser considerada em todo o seu ciclo de vida, compreendendo:</w:t>
      </w:r>
    </w:p>
    <w:p>
      <w:pPr>
        <w:pStyle w:val="ListBullet"/>
        <w:ind w:left="907"/>
        <w:jc w:val="both"/>
      </w:pPr>
      <w:r>
        <w:rPr>
          <w:b w:val="0"/>
        </w:rPr>
        <w:t>Implantação: configuração do ambiente, cadastro de entidades, fontes, perfis de acesso, identidade visual e regras de conformidade;</w:t>
      </w:r>
    </w:p>
    <w:p>
      <w:pPr>
        <w:pStyle w:val="ListBullet"/>
        <w:ind w:left="907"/>
        <w:jc w:val="both"/>
      </w:pPr>
      <w:r>
        <w:rPr>
          <w:b w:val="0"/>
        </w:rPr>
        <w:t>Capacitação: treinamento dos usuários e disponibilização de material de apoio em língua portuguesa;</w:t>
      </w:r>
    </w:p>
    <w:p>
      <w:pPr>
        <w:pStyle w:val="ListBullet"/>
        <w:ind w:left="907"/>
        <w:jc w:val="both"/>
      </w:pPr>
      <w:r>
        <w:rPr>
          <w:b w:val="0"/>
        </w:rPr>
        <w:t>Operação: disponibilidade da plataforma, suporte técnico, manutenção corretiva, evolutiva e de segurança, sem custo adicional;</w:t>
      </w:r>
    </w:p>
    <w:p>
      <w:pPr>
        <w:pStyle w:val="ListBullet"/>
        <w:ind w:left="907"/>
        <w:jc w:val="both"/>
      </w:pPr>
      <w:r>
        <w:rPr>
          <w:b w:val="0"/>
        </w:rPr>
        <w:t>Encerramento e transição: exportação integral dos dados do órgão em formatos abertos e eliminação segura dos dados ao final do contrato.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3.3</w:t>
        <w:tab/>
      </w:r>
      <w:r>
        <w:rPr>
          <w:b w:val="0"/>
        </w:rPr>
        <w:t>A inteligência artificial atua como ferramenta de apoio. Classificações, sugestões de texto e recomendações devem ser passíveis de revisão humana, e nenhum conteúdo será publicado em nome do órgão sem aprovação expressa de usuário autorizado.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3.4</w:t>
        <w:tab/>
      </w:r>
      <w:r>
        <w:rPr>
          <w:b w:val="0"/>
        </w:rPr>
        <w:t xml:space="preserve">A escolha pela subscrição de solução de mercado, em detrimento do desenvolvimento próprio, fundamenta-se no Estudo Técnico Preliminar, considerando custo total, prazo de disponibilização e manutenção evolutiva. </w:t>
      </w:r>
      <w:r>
        <w:rPr>
          <w:b w:val="0"/>
          <w:highlight w:val="yellow"/>
        </w:rPr>
        <w:t>[AJUSTAR CONFORME O ETP]</w:t>
      </w:r>
    </w:p>
    <w:p>
      <w:pPr>
        <w:pStyle w:val="Heading1"/>
      </w:pPr>
      <w:r>
        <w:t>4. DOS REQUISITOS DA CONTRATAÇÃO</w:t>
      </w:r>
    </w:p>
    <w:p>
      <w:pPr>
        <w:pStyle w:val="Heading2"/>
      </w:pPr>
      <w:r>
        <w:t>4.1 Requisitos funcionais</w:t>
      </w:r>
    </w:p>
    <w:p>
      <w:pPr>
        <w:ind w:left="567"/>
        <w:jc w:val="both"/>
      </w:pPr>
      <w:r>
        <w:rPr>
          <w:b/>
        </w:rPr>
        <w:t xml:space="preserve">RF-01 — Monitoramento multifontes. </w:t>
      </w:r>
      <w:r>
        <w:rPr>
          <w:b w:val="0"/>
        </w:rPr>
        <w:t xml:space="preserve">Coletar continuamente conteúdos públicos de portais de notícias, blogs, publicações oficiais (Diários Oficiais) e perfis públicos em redes sociais, a partir de termos, entidades e fontes configuráveis pelo órgão, com intervalo de coleta não superior a </w:t>
      </w:r>
      <w:r>
        <w:rPr>
          <w:b w:val="0"/>
          <w:highlight w:val="yellow"/>
        </w:rPr>
        <w:t>[15]</w:t>
      </w:r>
      <w:r>
        <w:rPr>
          <w:b w:val="0"/>
        </w:rPr>
        <w:t xml:space="preserve"> minutos para fontes web e possibilidade de inclusão de novas fontes mediante solicitação.</w:t>
      </w:r>
    </w:p>
    <w:p>
      <w:pPr>
        <w:ind w:left="567"/>
        <w:jc w:val="both"/>
      </w:pPr>
      <w:r>
        <w:rPr>
          <w:b/>
        </w:rPr>
        <w:t xml:space="preserve">RF-02 — Classificação por inteligência artificial. </w:t>
      </w:r>
      <w:r>
        <w:rPr>
          <w:b w:val="0"/>
        </w:rPr>
        <w:t>Classificar automaticamente cada conteúdo por entidade citada, tema, sentimento (positivo, neutro, negativo), relevância e risco, permitindo correção manual da classificação pelo usuário e registro dessa correção.</w:t>
      </w:r>
    </w:p>
    <w:p>
      <w:pPr>
        <w:ind w:left="567"/>
        <w:jc w:val="both"/>
      </w:pPr>
      <w:r>
        <w:rPr>
          <w:b/>
        </w:rPr>
        <w:t xml:space="preserve">RF-03 — Alertas. </w:t>
      </w:r>
      <w:r>
        <w:rPr>
          <w:b w:val="0"/>
        </w:rPr>
        <w:t>Emitir alertas configuráveis por entidade, tema, sentimento, volume e fonte, por e-mail e notificação na plataforma, e, opcionalmente, por aplicativo de mensagens, com registro de data e hora do envio.</w:t>
      </w:r>
    </w:p>
    <w:p>
      <w:pPr>
        <w:ind w:left="567"/>
        <w:jc w:val="both"/>
      </w:pPr>
      <w:r>
        <w:rPr>
          <w:b/>
        </w:rPr>
        <w:t xml:space="preserve">RF-04 — Perfis de entidades. </w:t>
      </w:r>
      <w:r>
        <w:rPr>
          <w:b w:val="0"/>
        </w:rPr>
        <w:t>Manter perfis do órgão, de seus membros, porta-vozes e de outras entidades de interesse, com histórico de menções, evolução do sentimento, temas associados e principais veículos.</w:t>
      </w:r>
    </w:p>
    <w:p>
      <w:pPr>
        <w:ind w:left="567"/>
        <w:jc w:val="both"/>
      </w:pPr>
      <w:r>
        <w:rPr>
          <w:b/>
        </w:rPr>
        <w:t xml:space="preserve">RF-05 — Alinhamento de porta-vozes. </w:t>
      </w:r>
      <w:r>
        <w:rPr>
          <w:b w:val="0"/>
        </w:rPr>
        <w:t>Comparar as manifestações públicas dos porta-vozes com a posição institucional cadastrada, sinalizando divergências e permitindo a distribuição de orientações (linhas de discurso) aos porta-vozes.</w:t>
      </w:r>
    </w:p>
    <w:p>
      <w:pPr>
        <w:ind w:left="567"/>
        <w:jc w:val="both"/>
      </w:pPr>
      <w:r>
        <w:rPr>
          <w:b/>
        </w:rPr>
        <w:t xml:space="preserve">RF-06 — Comunicação com revisão de conformidade. </w:t>
      </w:r>
      <w:r>
        <w:rPr>
          <w:b w:val="0"/>
        </w:rPr>
        <w:t>Apoiar a elaboração de notas, respostas e publicações, com verificação automática contra regras configuráveis pelo órgão (por exemplo, vedação de promoção pessoal na publicidade institucional, nos termos do art. 37, § 1º, da Constituição Federal, e restrições aplicáveis em período eleitoral), com fluxo de aprovação e histórico de versões.</w:t>
      </w:r>
    </w:p>
    <w:p>
      <w:pPr>
        <w:ind w:left="567"/>
        <w:jc w:val="both"/>
      </w:pPr>
      <w:r>
        <w:rPr>
          <w:b/>
        </w:rPr>
        <w:t xml:space="preserve">RF-07 — Sala de crise. </w:t>
      </w:r>
      <w:r>
        <w:rPr>
          <w:b w:val="0"/>
        </w:rPr>
        <w:t>Disponibilizar modo de gestão de crise com coleta acelerada, linha do tempo dos acontecimentos, indicadores de propagação, registro de decisões e roteiro de resposta (playbook) configurável.</w:t>
      </w:r>
    </w:p>
    <w:p>
      <w:pPr>
        <w:ind w:left="567"/>
        <w:jc w:val="both"/>
      </w:pPr>
      <w:r>
        <w:rPr>
          <w:b/>
        </w:rPr>
        <w:t xml:space="preserve">RF-08 — Pesquisas de percepção com georreferenciamento. </w:t>
      </w:r>
      <w:r>
        <w:rPr>
          <w:b w:val="0"/>
        </w:rPr>
        <w:t>Permitir a criação de pesquisas de percepção com página pública e QR Code, coleta anônima ou com consentimento, e visualização dos resultados em mapa por município e bairro, observada a minimização de dados pessoais.</w:t>
      </w:r>
    </w:p>
    <w:p>
      <w:pPr>
        <w:ind w:left="567"/>
        <w:jc w:val="both"/>
      </w:pPr>
      <w:r>
        <w:rPr>
          <w:b/>
        </w:rPr>
        <w:t xml:space="preserve">RF-09 — Relatórios. </w:t>
      </w:r>
      <w:r>
        <w:rPr>
          <w:b w:val="0"/>
        </w:rPr>
        <w:t>Gerar relatórios periódicos (semanal e mensal) e sob demanda, com a identidade visual do órgão, exportáveis em PDF e os dados subjacentes em CSV ou planilha.</w:t>
      </w:r>
    </w:p>
    <w:p>
      <w:pPr>
        <w:ind w:left="567"/>
        <w:jc w:val="both"/>
      </w:pPr>
      <w:r>
        <w:rPr>
          <w:b/>
        </w:rPr>
        <w:t xml:space="preserve">RF-10 — Gestão de usuários. </w:t>
      </w:r>
      <w:r>
        <w:rPr>
          <w:b w:val="0"/>
        </w:rPr>
        <w:t>Permitir a administração de usuários e perfis de acesso pelo próprio órgão, com papéis distintos (por exemplo, administrador, analista, aprovador e leitor).</w:t>
      </w:r>
    </w:p>
    <w:p>
      <w:pPr>
        <w:pStyle w:val="Heading2"/>
      </w:pPr>
      <w:r>
        <w:t>4.2 Requisitos não funcionais</w:t>
      </w:r>
    </w:p>
    <w:p>
      <w:pPr>
        <w:ind w:left="567"/>
        <w:jc w:val="both"/>
      </w:pPr>
      <w:r>
        <w:rPr>
          <w:b/>
        </w:rPr>
        <w:t xml:space="preserve">RNF-01 — Disponibilidade. </w:t>
      </w:r>
      <w:r>
        <w:rPr>
          <w:b w:val="0"/>
        </w:rPr>
        <w:t xml:space="preserve">Disponibilidade mensal mínima de </w:t>
      </w:r>
      <w:r>
        <w:rPr>
          <w:b w:val="0"/>
          <w:highlight w:val="yellow"/>
        </w:rPr>
        <w:t>[99,9%]</w:t>
      </w:r>
      <w:r>
        <w:rPr>
          <w:b w:val="0"/>
        </w:rPr>
        <w:t>, excluídas as janelas de manutenção programada comunicadas com antecedência mínima de 48 horas e realizadas preferencialmente fora do horário comercial.</w:t>
      </w:r>
    </w:p>
    <w:p>
      <w:pPr>
        <w:ind w:left="567"/>
        <w:jc w:val="both"/>
      </w:pPr>
      <w:r>
        <w:rPr>
          <w:b/>
        </w:rPr>
        <w:t xml:space="preserve">RNF-02 — Segurança da informação. </w:t>
      </w:r>
      <w:r>
        <w:rPr>
          <w:b w:val="0"/>
        </w:rPr>
        <w:t xml:space="preserve">Criptografia em trânsito (TLS 1.2 ou superior) e em repouso; autenticação com segundo fator; controle de acesso baseado em papéis; isolamento lógico dos dados do órgão; cópias de segurança diárias com retenção mínima de </w:t>
      </w:r>
      <w:r>
        <w:rPr>
          <w:b w:val="0"/>
          <w:highlight w:val="yellow"/>
        </w:rPr>
        <w:t>[30]</w:t>
      </w:r>
      <w:r>
        <w:rPr>
          <w:b w:val="0"/>
        </w:rPr>
        <w:t xml:space="preserve"> dias; e gestão de vulnerabilidades com correções em prazo compatível com a criticidade.</w:t>
      </w:r>
    </w:p>
    <w:p>
      <w:pPr>
        <w:ind w:left="567"/>
        <w:jc w:val="both"/>
      </w:pPr>
      <w:r>
        <w:rPr>
          <w:b/>
        </w:rPr>
        <w:t xml:space="preserve">RNF-03 — Proteção de dados pessoais (LGPD). </w:t>
      </w:r>
      <w:r>
        <w:rPr>
          <w:b w:val="0"/>
        </w:rPr>
        <w:t xml:space="preserve">A contratada atuará como operadora, nos termos do art. 39 da Lei nº 13.709/2018, tratando dados pessoais exclusivamente conforme as instruções do órgão (controlador), devendo: indicar encarregado ou canal de contato; apoiar a elaboração de relatório de impacto, quando solicitado; comunicar ao órgão incidentes de segurança em até </w:t>
      </w:r>
      <w:r>
        <w:rPr>
          <w:b w:val="0"/>
          <w:highlight w:val="yellow"/>
        </w:rPr>
        <w:t>[24]</w:t>
      </w:r>
      <w:r>
        <w:rPr>
          <w:b w:val="0"/>
        </w:rPr>
        <w:t xml:space="preserve"> horas da ciência; e não utilizar os dados do órgão para finalidade diversa da execução contratual.</w:t>
      </w:r>
    </w:p>
    <w:p>
      <w:pPr>
        <w:ind w:left="567"/>
        <w:jc w:val="both"/>
      </w:pPr>
      <w:r>
        <w:rPr>
          <w:b/>
        </w:rPr>
        <w:t xml:space="preserve">RNF-04 — Acessibilidade. </w:t>
      </w:r>
      <w:r>
        <w:rPr>
          <w:b w:val="0"/>
        </w:rPr>
        <w:t>A interface deverá observar, no que couber, as diretrizes do Modelo de Acessibilidade em Governo Eletrônico (eMAG) e das WCAG 2.1, nível AA, em atenção à Lei nº 13.146/2015.</w:t>
      </w:r>
    </w:p>
    <w:p>
      <w:pPr>
        <w:ind w:left="567"/>
        <w:jc w:val="both"/>
      </w:pPr>
      <w:r>
        <w:rPr>
          <w:b/>
        </w:rPr>
        <w:t xml:space="preserve">RNF-05 — Autenticação única (SSO). </w:t>
      </w:r>
      <w:r>
        <w:rPr>
          <w:b w:val="0"/>
        </w:rPr>
        <w:t>Suportar autenticação única por SAML 2.0 ou OpenID Connect e, quando o órgão aderir aos serviços correspondentes, integração com o Login gov.br.</w:t>
      </w:r>
    </w:p>
    <w:p>
      <w:pPr>
        <w:ind w:left="567"/>
        <w:jc w:val="both"/>
      </w:pPr>
      <w:r>
        <w:rPr>
          <w:b/>
        </w:rPr>
        <w:t xml:space="preserve">RNF-06 — Trilha de auditoria. </w:t>
      </w:r>
      <w:r>
        <w:rPr>
          <w:b w:val="0"/>
        </w:rPr>
        <w:t xml:space="preserve">Registrar as ações relevantes dos usuários (acesso, criação, alteração, aprovação, exclusão e exportação), com usuário, data, hora e origem, mantendo os registros por no mínimo </w:t>
      </w:r>
      <w:r>
        <w:rPr>
          <w:b w:val="0"/>
          <w:highlight w:val="yellow"/>
        </w:rPr>
        <w:t>[12]</w:t>
      </w:r>
      <w:r>
        <w:rPr>
          <w:b w:val="0"/>
        </w:rPr>
        <w:t xml:space="preserve"> meses e permitindo sua exportação em formato aberto.</w:t>
      </w:r>
    </w:p>
    <w:p>
      <w:pPr>
        <w:ind w:left="567"/>
        <w:jc w:val="both"/>
      </w:pPr>
      <w:r>
        <w:rPr>
          <w:b/>
        </w:rPr>
        <w:t xml:space="preserve">RNF-07 — Hospedagem. </w:t>
      </w:r>
      <w:r>
        <w:rPr>
          <w:b w:val="0"/>
        </w:rPr>
        <w:t xml:space="preserve">Os dados do órgão deverão ser armazenados em infraestrutura de nuvem localizada em território nacional, em provedor que possua certificações de segurança reconhecidas (por exemplo, ISO/IEC 27001) </w:t>
      </w:r>
      <w:r>
        <w:rPr>
          <w:b w:val="0"/>
          <w:highlight w:val="yellow"/>
        </w:rPr>
        <w:t>[a ser comprovado pela contratada]</w:t>
      </w:r>
      <w:r>
        <w:rPr>
          <w:b w:val="0"/>
        </w:rPr>
        <w:t>.</w:t>
      </w:r>
    </w:p>
    <w:p>
      <w:pPr>
        <w:ind w:left="567"/>
        <w:jc w:val="both"/>
      </w:pPr>
      <w:r>
        <w:rPr>
          <w:b/>
        </w:rPr>
        <w:t xml:space="preserve">RNF-08 — Retenção e portabilidade. </w:t>
      </w:r>
      <w:r>
        <w:rPr>
          <w:b w:val="0"/>
        </w:rPr>
        <w:t>Permitir a configuração de prazos de retenção pelo órgão e a exportação integral dos dados em formatos abertos (CSV ou JSON) durante a vigência e ao término do contrato.</w:t>
      </w:r>
    </w:p>
    <w:p>
      <w:pPr>
        <w:ind w:left="567"/>
        <w:jc w:val="both"/>
      </w:pPr>
      <w:r>
        <w:rPr>
          <w:b/>
        </w:rPr>
        <w:t xml:space="preserve">RNF-09 — Compatibilidade e idioma. </w:t>
      </w:r>
      <w:r>
        <w:rPr>
          <w:b w:val="0"/>
        </w:rPr>
        <w:t>Funcionar nas versões atuais dos principais navegadores, em computadores e dispositivos móveis, com interface, documentação e suporte em língua portuguesa.</w:t>
      </w:r>
    </w:p>
    <w:p>
      <w:pPr>
        <w:ind w:left="567"/>
      </w:pPr>
      <w:r>
        <w:rPr>
          <w:b/>
          <w:i/>
          <w:sz w:val="19"/>
        </w:rPr>
        <w:t xml:space="preserve">Nota: </w:t>
      </w:r>
      <w:r>
        <w:rPr>
          <w:i/>
          <w:color w:val="5F5F66"/>
          <w:sz w:val="19"/>
        </w:rPr>
        <w:t>Órgãos integrantes do SISP devem observar também a Instrução Normativa SGD/ME nº 94/2022 e normas complementares. Órgãos estaduais e municipais devem observar seus regulamentos próprios.</w:t>
      </w:r>
    </w:p>
    <w:p>
      <w:pPr>
        <w:pStyle w:val="Heading1"/>
      </w:pPr>
      <w:r>
        <w:t>5. DO MODELO DE EXECUÇÃO DO OBJETO</w:t>
      </w:r>
    </w:p>
    <w:p>
      <w:pPr>
        <w:pStyle w:val="Heading2"/>
      </w:pPr>
      <w:r>
        <w:t>5.1 Implantação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5.1.1</w:t>
        <w:tab/>
      </w:r>
      <w:r>
        <w:rPr>
          <w:b w:val="0"/>
        </w:rPr>
        <w:t xml:space="preserve">A reunião inicial será realizada em até </w:t>
      </w:r>
      <w:r>
        <w:rPr>
          <w:b w:val="0"/>
          <w:highlight w:val="yellow"/>
        </w:rPr>
        <w:t>[5]</w:t>
      </w:r>
      <w:r>
        <w:rPr>
          <w:b w:val="0"/>
        </w:rPr>
        <w:t xml:space="preserve"> dias úteis da emissão da ordem de serviço, ocasião em que a contratada apresentará o plano de implantação, com cronograma, responsáveis e entregáveis.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5.1.2</w:t>
        <w:tab/>
      </w:r>
      <w:r>
        <w:rPr>
          <w:b w:val="0"/>
        </w:rPr>
        <w:t xml:space="preserve">O ambiente deverá estar disponível para acesso em até </w:t>
      </w:r>
      <w:r>
        <w:rPr>
          <w:b w:val="0"/>
          <w:highlight w:val="yellow"/>
        </w:rPr>
        <w:t>[10]</w:t>
      </w:r>
      <w:r>
        <w:rPr>
          <w:b w:val="0"/>
        </w:rPr>
        <w:t xml:space="preserve"> dias corridos, e a implantação deverá ser concluída em até </w:t>
      </w:r>
      <w:r>
        <w:rPr>
          <w:b w:val="0"/>
          <w:highlight w:val="yellow"/>
        </w:rPr>
        <w:t>[30]</w:t>
      </w:r>
      <w:r>
        <w:rPr>
          <w:b w:val="0"/>
        </w:rPr>
        <w:t xml:space="preserve"> dias corridos, contados da ordem de serviço, incluindo cadastro de entidades e fontes, perfis de acesso, identidade visual, regras de conformidade e configuração de alertas.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5.1.3</w:t>
        <w:tab/>
      </w:r>
      <w:r>
        <w:rPr>
          <w:b w:val="0"/>
        </w:rPr>
        <w:t>Concluída a implantação, a contratada emitirá relatório de implantação, que subsidiará o recebimento do item correspondente.</w:t>
      </w:r>
    </w:p>
    <w:p>
      <w:pPr>
        <w:pStyle w:val="Heading2"/>
      </w:pPr>
      <w:r>
        <w:t>5.2 Treinamento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5.2.1</w:t>
        <w:tab/>
      </w:r>
      <w:r>
        <w:rPr>
          <w:b w:val="0"/>
        </w:rPr>
        <w:t xml:space="preserve">A contratada realizará </w:t>
      </w:r>
      <w:r>
        <w:rPr>
          <w:b w:val="0"/>
          <w:highlight w:val="yellow"/>
        </w:rPr>
        <w:t>[2]</w:t>
      </w:r>
      <w:r>
        <w:rPr>
          <w:b w:val="0"/>
        </w:rPr>
        <w:t xml:space="preserve"> turmas de treinamento, com carga horária mínima de </w:t>
      </w:r>
      <w:r>
        <w:rPr>
          <w:b w:val="0"/>
          <w:highlight w:val="yellow"/>
        </w:rPr>
        <w:t>[4]</w:t>
      </w:r>
      <w:r>
        <w:rPr>
          <w:b w:val="0"/>
        </w:rPr>
        <w:t xml:space="preserve"> horas cada, em formato </w:t>
      </w:r>
      <w:r>
        <w:rPr>
          <w:b w:val="0"/>
          <w:highlight w:val="yellow"/>
        </w:rPr>
        <w:t>[remoto ao vivo | presencial em MUNICÍPIO/UF]</w:t>
      </w:r>
      <w:r>
        <w:rPr>
          <w:b w:val="0"/>
        </w:rPr>
        <w:t xml:space="preserve">, para até </w:t>
      </w:r>
      <w:r>
        <w:rPr>
          <w:b w:val="0"/>
          <w:highlight w:val="yellow"/>
        </w:rPr>
        <w:t>[20]</w:t>
      </w:r>
      <w:r>
        <w:rPr>
          <w:b w:val="0"/>
        </w:rPr>
        <w:t xml:space="preserve"> participantes por turma, com material didático em língua portuguesa e registro de presença.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5.2.2</w:t>
        <w:tab/>
      </w:r>
      <w:r>
        <w:rPr>
          <w:b w:val="0"/>
        </w:rPr>
        <w:t>Turmas adicionais poderão ser demandadas conforme o item 5 do Anexo I.</w:t>
      </w:r>
    </w:p>
    <w:p>
      <w:pPr>
        <w:pStyle w:val="Heading2"/>
      </w:pPr>
      <w:r>
        <w:t>5.3 Operação e suporte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5.3.1</w:t>
        <w:tab/>
      </w:r>
      <w:r>
        <w:rPr>
          <w:b w:val="0"/>
        </w:rPr>
        <w:t xml:space="preserve">O suporte técnico será prestado por portal de chamados, e-mail e telefone, em dias úteis, das </w:t>
      </w:r>
      <w:r>
        <w:rPr>
          <w:b w:val="0"/>
          <w:highlight w:val="yellow"/>
        </w:rPr>
        <w:t>[8h às 18h]</w:t>
      </w:r>
      <w:r>
        <w:rPr>
          <w:b w:val="0"/>
        </w:rPr>
        <w:t xml:space="preserve"> (horário de Brasília), e, para chamados de severidade 1, em regime </w:t>
      </w:r>
      <w:r>
        <w:rPr>
          <w:b w:val="0"/>
          <w:highlight w:val="yellow"/>
        </w:rPr>
        <w:t>[24x7 | horário estendido]</w:t>
      </w:r>
      <w:r>
        <w:rPr>
          <w:b w:val="0"/>
        </w:rPr>
        <w:t>, conforme a faixa contratada.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5.3.2</w:t>
        <w:tab/>
      </w:r>
      <w:r>
        <w:rPr>
          <w:b w:val="0"/>
        </w:rPr>
        <w:t>Atualizações corretivas, evolutivas e de segurança serão disponibilizadas sem custo adicional durante a vigência contratual.</w:t>
      </w:r>
    </w:p>
    <w:p>
      <w:pPr>
        <w:pStyle w:val="Heading2"/>
      </w:pPr>
      <w:r>
        <w:t>5.4 Níveis de serviço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5.4.1</w:t>
        <w:tab/>
      </w:r>
      <w:r>
        <w:rPr>
          <w:b w:val="0"/>
        </w:rPr>
        <w:t>Os chamados serão classificados por severidade, com os prazos máximos abaixo, contados da abertura do chamado:</w:t>
      </w:r>
    </w:p>
    <w:p>
      <w:pPr>
        <w:keepNext/>
        <w:spacing w:before="120"/>
      </w:pPr>
      <w:r>
        <w:rPr>
          <w:b/>
          <w:sz w:val="18"/>
        </w:rPr>
        <w:t>Tabela 1 — Severidades e prazos de atendimento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871"/>
            <w:shd w:val="clear" w:color="auto" w:fill="2450E6"/>
          </w:tcPr>
          <w:p>
            <w:r/>
            <w:r>
              <w:rPr>
                <w:b/>
                <w:color w:val="FFFFFF"/>
                <w:sz w:val="17"/>
              </w:rPr>
              <w:t>Severidade</w:t>
            </w:r>
          </w:p>
        </w:tc>
        <w:tc>
          <w:tcPr>
            <w:tcW w:type="dxa" w:w="1871"/>
            <w:shd w:val="clear" w:color="auto" w:fill="2450E6"/>
          </w:tcPr>
          <w:p>
            <w:r/>
            <w:r>
              <w:rPr>
                <w:b/>
                <w:color w:val="FFFFFF"/>
                <w:sz w:val="17"/>
              </w:rPr>
              <w:t>Descrição</w:t>
            </w:r>
          </w:p>
        </w:tc>
        <w:tc>
          <w:tcPr>
            <w:tcW w:type="dxa" w:w="1871"/>
            <w:shd w:val="clear" w:color="auto" w:fill="2450E6"/>
          </w:tcPr>
          <w:p>
            <w:r/>
            <w:r>
              <w:rPr>
                <w:b/>
                <w:color w:val="FFFFFF"/>
                <w:sz w:val="17"/>
              </w:rPr>
              <w:t>Primeiro atendimento</w:t>
            </w:r>
          </w:p>
        </w:tc>
        <w:tc>
          <w:tcPr>
            <w:tcW w:type="dxa" w:w="1871"/>
            <w:shd w:val="clear" w:color="auto" w:fill="2450E6"/>
          </w:tcPr>
          <w:p>
            <w:r/>
            <w:r>
              <w:rPr>
                <w:b/>
                <w:color w:val="FFFFFF"/>
                <w:sz w:val="17"/>
              </w:rPr>
              <w:t>Solução de contorno</w:t>
            </w:r>
          </w:p>
        </w:tc>
        <w:tc>
          <w:tcPr>
            <w:tcW w:type="dxa" w:w="1871"/>
            <w:shd w:val="clear" w:color="auto" w:fill="2450E6"/>
          </w:tcPr>
          <w:p>
            <w:r/>
            <w:r>
              <w:rPr>
                <w:b/>
                <w:color w:val="FFFFFF"/>
                <w:sz w:val="17"/>
              </w:rPr>
              <w:t>Solução definitiva</w:t>
            </w:r>
          </w:p>
        </w:tc>
      </w:tr>
      <w:tr>
        <w:tc>
          <w:tcPr>
            <w:tcW w:type="dxa" w:w="1871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1 — Crítica</w:t>
            </w:r>
          </w:p>
        </w:tc>
        <w:tc>
          <w:tcPr>
            <w:tcW w:type="dxa" w:w="1871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Indisponibilidade total da solução ou falha que impeça o uso de funções essenciais (monitoramento, alertas ou sala de crise).</w:t>
            </w:r>
          </w:p>
        </w:tc>
        <w:tc>
          <w:tcPr>
            <w:tcW w:type="dxa" w:w="1871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até 1 hora</w:t>
            </w:r>
          </w:p>
        </w:tc>
        <w:tc>
          <w:tcPr>
            <w:tcW w:type="dxa" w:w="1871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até 4 horas</w:t>
            </w:r>
          </w:p>
        </w:tc>
        <w:tc>
          <w:tcPr>
            <w:tcW w:type="dxa" w:w="1871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até 24 horas</w:t>
            </w:r>
          </w:p>
        </w:tc>
      </w:tr>
      <w:tr>
        <w:tc>
          <w:tcPr>
            <w:tcW w:type="dxa" w:w="1871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2 — Alta</w:t>
            </w:r>
          </w:p>
        </w:tc>
        <w:tc>
          <w:tcPr>
            <w:tcW w:type="dxa" w:w="1871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Funcionalidade relevante degradada, sem alternativa de contorno, com impacto na rotina da unidade.</w:t>
            </w:r>
          </w:p>
        </w:tc>
        <w:tc>
          <w:tcPr>
            <w:tcW w:type="dxa" w:w="1871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até 4 horas</w:t>
            </w:r>
          </w:p>
        </w:tc>
        <w:tc>
          <w:tcPr>
            <w:tcW w:type="dxa" w:w="1871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até 1 dia útil</w:t>
            </w:r>
          </w:p>
        </w:tc>
        <w:tc>
          <w:tcPr>
            <w:tcW w:type="dxa" w:w="1871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até 3 dias úteis</w:t>
            </w:r>
          </w:p>
        </w:tc>
      </w:tr>
      <w:tr>
        <w:tc>
          <w:tcPr>
            <w:tcW w:type="dxa" w:w="1871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3 — Média</w:t>
            </w:r>
          </w:p>
        </w:tc>
        <w:tc>
          <w:tcPr>
            <w:tcW w:type="dxa" w:w="1871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Falha pontual com alternativa de contorno disponível, sem impacto relevante na operação.</w:t>
            </w:r>
          </w:p>
        </w:tc>
        <w:tc>
          <w:tcPr>
            <w:tcW w:type="dxa" w:w="1871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até 1 dia útil</w:t>
            </w:r>
          </w:p>
        </w:tc>
        <w:tc>
          <w:tcPr>
            <w:tcW w:type="dxa" w:w="1871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não se aplica</w:t>
            </w:r>
          </w:p>
        </w:tc>
        <w:tc>
          <w:tcPr>
            <w:tcW w:type="dxa" w:w="1871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até 10 dias úteis</w:t>
            </w:r>
          </w:p>
        </w:tc>
      </w:tr>
      <w:tr>
        <w:tc>
          <w:tcPr>
            <w:tcW w:type="dxa" w:w="1871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4 — Baixa</w:t>
            </w:r>
          </w:p>
        </w:tc>
        <w:tc>
          <w:tcPr>
            <w:tcW w:type="dxa" w:w="1871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Dúvidas de uso, ajustes de configuração, solicitações de melhoria e falhas estéticas.</w:t>
            </w:r>
          </w:p>
        </w:tc>
        <w:tc>
          <w:tcPr>
            <w:tcW w:type="dxa" w:w="1871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até 2 dias úteis</w:t>
            </w:r>
          </w:p>
        </w:tc>
        <w:tc>
          <w:tcPr>
            <w:tcW w:type="dxa" w:w="1871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não se aplica</w:t>
            </w:r>
          </w:p>
        </w:tc>
        <w:tc>
          <w:tcPr>
            <w:tcW w:type="dxa" w:w="1871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conforme cronograma acordado</w:t>
            </w:r>
          </w:p>
        </w:tc>
      </w:tr>
    </w:tbl>
    <w:p>
      <w:pPr>
        <w:spacing w:after="40"/>
      </w:pP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5.4.2</w:t>
        <w:tab/>
      </w:r>
      <w:r>
        <w:rPr>
          <w:b w:val="0"/>
        </w:rPr>
        <w:t>Prazos em horas são contados de forma corrida para severidade 1 e dentro do horário de suporte para as demais. A reclassificação de severidade deverá ser justificada e registrada no chamado.</w:t>
      </w:r>
    </w:p>
    <w:p>
      <w:pPr>
        <w:pStyle w:val="Heading2"/>
      </w:pPr>
      <w:r>
        <w:t>5.5 Glosas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5.5.1</w:t>
        <w:tab/>
      </w:r>
      <w:r>
        <w:rPr>
          <w:b w:val="0"/>
        </w:rPr>
        <w:t>O descumprimento dos níveis de serviço ensejará ajuste no pagamento mensal (glosa), conforme o Instrumento de Medição de Resultado previsto no item 6.4, sem prejuízo da aplicação das sanções cabíveis em caso de reincidência ou inexecução.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5.5.2</w:t>
        <w:tab/>
      </w:r>
      <w:r>
        <w:rPr>
          <w:b w:val="0"/>
        </w:rPr>
        <w:t xml:space="preserve">O somatório das glosas fica limitado a </w:t>
      </w:r>
      <w:r>
        <w:rPr>
          <w:b w:val="0"/>
          <w:highlight w:val="yellow"/>
        </w:rPr>
        <w:t>[10%]</w:t>
      </w:r>
      <w:r>
        <w:rPr>
          <w:b w:val="0"/>
        </w:rPr>
        <w:t xml:space="preserve"> do valor mensal da subscrição. Ultrapassado esse limite por </w:t>
      </w:r>
      <w:r>
        <w:rPr>
          <w:b w:val="0"/>
          <w:highlight w:val="yellow"/>
        </w:rPr>
        <w:t>[3]</w:t>
      </w:r>
      <w:r>
        <w:rPr>
          <w:b w:val="0"/>
        </w:rPr>
        <w:t xml:space="preserve"> meses, consecutivos ou não, em período de 12 meses, a fiscalização avaliará a abertura de processo sancionatório.</w:t>
      </w:r>
    </w:p>
    <w:p>
      <w:pPr>
        <w:pStyle w:val="Heading2"/>
      </w:pPr>
      <w:r>
        <w:t>5.6 Encerramento e transição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5.6.1</w:t>
        <w:tab/>
      </w:r>
      <w:r>
        <w:rPr>
          <w:b w:val="0"/>
        </w:rPr>
        <w:t xml:space="preserve">Ao término do contrato, a contratada disponibilizará, em até </w:t>
      </w:r>
      <w:r>
        <w:rPr>
          <w:b w:val="0"/>
          <w:highlight w:val="yellow"/>
        </w:rPr>
        <w:t>[30]</w:t>
      </w:r>
      <w:r>
        <w:rPr>
          <w:b w:val="0"/>
        </w:rPr>
        <w:t xml:space="preserve"> dias, a exportação integral dos dados do órgão em formatos abertos e, após confirmação do órgão, procederá à eliminação segura dos dados, emitindo declaração de eliminação.</w:t>
      </w:r>
    </w:p>
    <w:p>
      <w:pPr>
        <w:pStyle w:val="Heading1"/>
      </w:pPr>
      <w:r>
        <w:t>6. DO MODELO DE GESTÃO DO CONTRATO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6.1</w:t>
        <w:tab/>
      </w:r>
      <w:r>
        <w:rPr>
          <w:b w:val="0"/>
        </w:rPr>
        <w:t>A execução do contrato será acompanhada e fiscalizada por gestor e fiscais (técnico, administrativo e requisitante) designados pela autoridade competente, nos termos do art. 117 da Lei nº 14.133/2021.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6.2</w:t>
        <w:tab/>
      </w:r>
      <w:r>
        <w:rPr>
          <w:b w:val="0"/>
        </w:rPr>
        <w:t>A contratada indicará preposto, aceito pelo órgão, para representá-la na execução do contrato (art. 118 da Lei nº 14.133/2021).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6.3</w:t>
        <w:tab/>
      </w:r>
      <w:r>
        <w:rPr>
          <w:b w:val="0"/>
        </w:rPr>
        <w:t xml:space="preserve">A contratada encaminhará, até o </w:t>
      </w:r>
      <w:r>
        <w:rPr>
          <w:b w:val="0"/>
          <w:highlight w:val="yellow"/>
        </w:rPr>
        <w:t>[5º]</w:t>
      </w:r>
      <w:r>
        <w:rPr>
          <w:b w:val="0"/>
        </w:rPr>
        <w:t xml:space="preserve"> dia útil de cada mês, relatório de níveis de serviço do mês anterior, contendo a disponibilidade apurada, os chamados abertos e encerrados por severidade e o cumprimento dos prazos.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6.4</w:t>
        <w:tab/>
      </w:r>
      <w:r>
        <w:rPr>
          <w:b w:val="0"/>
        </w:rPr>
        <w:t>Instrumento de Medição de Resultado (IMR) — os indicadores abaixo serão apurados mensalmente pela fiscalização técnica:</w:t>
      </w:r>
    </w:p>
    <w:p>
      <w:pPr>
        <w:keepNext/>
        <w:spacing w:before="120"/>
      </w:pPr>
      <w:r>
        <w:rPr>
          <w:b/>
          <w:sz w:val="18"/>
        </w:rPr>
        <w:t>Tabela 2 — Indicadores e ajustes de pagamento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2339"/>
            <w:shd w:val="clear" w:color="auto" w:fill="2450E6"/>
          </w:tcPr>
          <w:p>
            <w:r/>
            <w:r>
              <w:rPr>
                <w:b/>
                <w:color w:val="FFFFFF"/>
                <w:sz w:val="17"/>
              </w:rPr>
              <w:t>Indicador</w:t>
            </w:r>
          </w:p>
        </w:tc>
        <w:tc>
          <w:tcPr>
            <w:tcW w:type="dxa" w:w="2339"/>
            <w:shd w:val="clear" w:color="auto" w:fill="2450E6"/>
          </w:tcPr>
          <w:p>
            <w:r/>
            <w:r>
              <w:rPr>
                <w:b/>
                <w:color w:val="FFFFFF"/>
                <w:sz w:val="17"/>
              </w:rPr>
              <w:t>Meta</w:t>
            </w:r>
          </w:p>
        </w:tc>
        <w:tc>
          <w:tcPr>
            <w:tcW w:type="dxa" w:w="2339"/>
            <w:shd w:val="clear" w:color="auto" w:fill="2450E6"/>
          </w:tcPr>
          <w:p>
            <w:r/>
            <w:r>
              <w:rPr>
                <w:b/>
                <w:color w:val="FFFFFF"/>
                <w:sz w:val="17"/>
              </w:rPr>
              <w:t>Faixa de ajuste</w:t>
            </w:r>
          </w:p>
        </w:tc>
        <w:tc>
          <w:tcPr>
            <w:tcW w:type="dxa" w:w="2339"/>
            <w:shd w:val="clear" w:color="auto" w:fill="2450E6"/>
          </w:tcPr>
          <w:p>
            <w:r/>
            <w:r>
              <w:rPr>
                <w:b/>
                <w:color w:val="FFFFFF"/>
                <w:sz w:val="17"/>
              </w:rPr>
              <w:t>Ajuste no pagamento mensal</w:t>
            </w:r>
          </w:p>
        </w:tc>
      </w:tr>
      <w:tr>
        <w:tc>
          <w:tcPr>
            <w:tcW w:type="dxa" w:w="233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IND-01 — Disponibilidade mensal da solução</w:t>
            </w:r>
          </w:p>
        </w:tc>
        <w:tc>
          <w:tcPr>
            <w:tcW w:type="dxa" w:w="233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 xml:space="preserve">≥ 99,9% </w:t>
            </w:r>
            <w:r>
              <w:rPr>
                <w:b w:val="0"/>
                <w:sz w:val="17"/>
                <w:highlight w:val="yellow"/>
              </w:rPr>
              <w:t>[ou meta do plano contratado]</w:t>
            </w:r>
          </w:p>
        </w:tc>
        <w:tc>
          <w:tcPr>
            <w:tcW w:type="dxa" w:w="233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99,0% a 99,89%</w:t>
            </w:r>
          </w:p>
          <w:p>
            <w:pPr>
              <w:spacing w:after="40"/>
            </w:pPr>
            <w:r>
              <w:rPr>
                <w:b w:val="0"/>
                <w:sz w:val="17"/>
              </w:rPr>
              <w:t>98,0% a 98,99%</w:t>
            </w:r>
          </w:p>
          <w:p>
            <w:pPr>
              <w:spacing w:after="40"/>
            </w:pPr>
            <w:r>
              <w:rPr>
                <w:b w:val="0"/>
                <w:sz w:val="17"/>
              </w:rPr>
              <w:t>&lt; 98,0%</w:t>
            </w:r>
          </w:p>
        </w:tc>
        <w:tc>
          <w:tcPr>
            <w:tcW w:type="dxa" w:w="233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2%</w:t>
            </w:r>
          </w:p>
          <w:p>
            <w:pPr>
              <w:spacing w:after="40"/>
            </w:pPr>
            <w:r>
              <w:rPr>
                <w:b w:val="0"/>
                <w:sz w:val="17"/>
              </w:rPr>
              <w:t>5%</w:t>
            </w:r>
          </w:p>
          <w:p>
            <w:pPr>
              <w:spacing w:after="40"/>
            </w:pPr>
            <w:r>
              <w:rPr>
                <w:b w:val="0"/>
                <w:sz w:val="17"/>
              </w:rPr>
              <w:t>10%</w:t>
            </w:r>
          </w:p>
        </w:tc>
      </w:tr>
      <w:tr>
        <w:tc>
          <w:tcPr>
            <w:tcW w:type="dxa" w:w="233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IND-02 — Prazos de atendimento (severidades 1 e 2)</w:t>
            </w:r>
          </w:p>
        </w:tc>
        <w:tc>
          <w:tcPr>
            <w:tcW w:type="dxa" w:w="233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≥ 95% dos chamados no prazo</w:t>
            </w:r>
          </w:p>
        </w:tc>
        <w:tc>
          <w:tcPr>
            <w:tcW w:type="dxa" w:w="233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85% a 94,9%</w:t>
            </w:r>
          </w:p>
          <w:p>
            <w:pPr>
              <w:spacing w:after="40"/>
            </w:pPr>
            <w:r>
              <w:rPr>
                <w:b w:val="0"/>
                <w:sz w:val="17"/>
              </w:rPr>
              <w:t>&lt; 85%</w:t>
            </w:r>
          </w:p>
        </w:tc>
        <w:tc>
          <w:tcPr>
            <w:tcW w:type="dxa" w:w="233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1%</w:t>
            </w:r>
          </w:p>
          <w:p>
            <w:pPr>
              <w:spacing w:after="40"/>
            </w:pPr>
            <w:r>
              <w:rPr>
                <w:b w:val="0"/>
                <w:sz w:val="17"/>
              </w:rPr>
              <w:t>3%</w:t>
            </w:r>
          </w:p>
        </w:tc>
      </w:tr>
      <w:tr>
        <w:tc>
          <w:tcPr>
            <w:tcW w:type="dxa" w:w="233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IND-03 — Entrega de relatórios periódicos no prazo</w:t>
            </w:r>
          </w:p>
        </w:tc>
        <w:tc>
          <w:tcPr>
            <w:tcW w:type="dxa" w:w="233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100%</w:t>
            </w:r>
          </w:p>
        </w:tc>
        <w:tc>
          <w:tcPr>
            <w:tcW w:type="dxa" w:w="233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por relatório entregue em atraso</w:t>
            </w:r>
          </w:p>
        </w:tc>
        <w:tc>
          <w:tcPr>
            <w:tcW w:type="dxa" w:w="233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0,5% por ocorrência</w:t>
            </w:r>
          </w:p>
        </w:tc>
      </w:tr>
      <w:tr>
        <w:tc>
          <w:tcPr>
            <w:tcW w:type="dxa" w:w="233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IND-04 — Atualização do monitoramento</w:t>
            </w:r>
          </w:p>
        </w:tc>
        <w:tc>
          <w:tcPr>
            <w:tcW w:type="dxa" w:w="233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 xml:space="preserve">coleta em intervalo ≤ </w:t>
            </w:r>
            <w:r>
              <w:rPr>
                <w:b w:val="0"/>
                <w:sz w:val="17"/>
                <w:highlight w:val="yellow"/>
              </w:rPr>
              <w:t>[15]</w:t>
            </w:r>
            <w:r>
              <w:rPr>
                <w:b w:val="0"/>
                <w:sz w:val="17"/>
              </w:rPr>
              <w:t xml:space="preserve"> minutos para fontes web monitoradas</w:t>
            </w:r>
          </w:p>
        </w:tc>
        <w:tc>
          <w:tcPr>
            <w:tcW w:type="dxa" w:w="233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 xml:space="preserve">descumprimento por mais de </w:t>
            </w:r>
            <w:r>
              <w:rPr>
                <w:b w:val="0"/>
                <w:sz w:val="17"/>
                <w:highlight w:val="yellow"/>
              </w:rPr>
              <w:t>[4]</w:t>
            </w:r>
            <w:r>
              <w:rPr>
                <w:b w:val="0"/>
                <w:sz w:val="17"/>
              </w:rPr>
              <w:t xml:space="preserve"> horas no mês</w:t>
            </w:r>
          </w:p>
        </w:tc>
        <w:tc>
          <w:tcPr>
            <w:tcW w:type="dxa" w:w="233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1%</w:t>
            </w:r>
          </w:p>
        </w:tc>
      </w:tr>
    </w:tbl>
    <w:p>
      <w:pPr>
        <w:spacing w:after="40"/>
      </w:pP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6.5</w:t>
        <w:tab/>
      </w:r>
      <w:r>
        <w:rPr>
          <w:b w:val="0"/>
        </w:rPr>
        <w:t>As comunicações entre as partes serão formais, preferencialmente por meio eletrônico, e registradas no processo.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6.6</w:t>
        <w:tab/>
      </w:r>
      <w:r>
        <w:rPr>
          <w:b w:val="0"/>
        </w:rPr>
        <w:t>As infrações e sanções administrativas observarão os arts. 155 a 163 da Lei nº 14.133/2021, conforme previsto no edital e no contrato.</w:t>
      </w:r>
    </w:p>
    <w:p>
      <w:pPr>
        <w:pStyle w:val="Heading1"/>
      </w:pPr>
      <w:r>
        <w:t>7. DOS CRITÉRIOS DE MEDIÇÃO E DE PAGAMENTO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7.1</w:t>
        <w:tab/>
      </w:r>
      <w:r>
        <w:rPr>
          <w:b w:val="0"/>
        </w:rPr>
        <w:t>A subscrição (itens 1 a 3) será paga mensalmente, em parcelas correspondentes a 1/12 (um doze avos) do valor anual, após a prestação do serviço no mês de referência, deduzidas as glosas apuradas no IMR.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7.2</w:t>
        <w:tab/>
      </w:r>
      <w:r>
        <w:rPr>
          <w:b w:val="0"/>
        </w:rPr>
        <w:t>A implantação (item 4) será paga em parcela única, após o recebimento definitivo; o treinamento (item 5), por turma realizada; as pesquisas adicionais (item 6), por pesquisa concluída; e as entidades adicionais (item 7), por entidade/mês efetivamente ativada.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7.3</w:t>
        <w:tab/>
      </w:r>
      <w:r>
        <w:rPr>
          <w:b w:val="0"/>
        </w:rPr>
        <w:t xml:space="preserve">O recebimento será provisório, pelo fiscal, e definitivo, pelo gestor ou comissão designada, nos prazos de </w:t>
      </w:r>
      <w:r>
        <w:rPr>
          <w:b w:val="0"/>
          <w:highlight w:val="yellow"/>
        </w:rPr>
        <w:t>[ ]</w:t>
      </w:r>
      <w:r>
        <w:rPr>
          <w:b w:val="0"/>
        </w:rPr>
        <w:t xml:space="preserve"> e </w:t>
      </w:r>
      <w:r>
        <w:rPr>
          <w:b w:val="0"/>
          <w:highlight w:val="yellow"/>
        </w:rPr>
        <w:t>[ ]</w:t>
      </w:r>
      <w:r>
        <w:rPr>
          <w:b w:val="0"/>
        </w:rPr>
        <w:t xml:space="preserve"> dias, respectivamente, observado o art. 140 da Lei nº 14.133/2021.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7.4</w:t>
        <w:tab/>
      </w:r>
      <w:r>
        <w:rPr>
          <w:b w:val="0"/>
        </w:rPr>
        <w:t xml:space="preserve">O pagamento será efetuado em até </w:t>
      </w:r>
      <w:r>
        <w:rPr>
          <w:b w:val="0"/>
          <w:highlight w:val="yellow"/>
        </w:rPr>
        <w:t>[ ]</w:t>
      </w:r>
      <w:r>
        <w:rPr>
          <w:b w:val="0"/>
        </w:rPr>
        <w:t xml:space="preserve"> dias úteis contados do recebimento da nota fiscal atestada, observada a ordem cronológica prevista no art. 141 da Lei nº 14.133/2021 e a regularidade fiscal da contratada.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7.5</w:t>
        <w:tab/>
      </w:r>
      <w:r>
        <w:rPr>
          <w:b w:val="0"/>
        </w:rPr>
        <w:t xml:space="preserve">Os preços poderão ser reajustados após 12 meses contados da data do orçamento estimado, pelo índice </w:t>
      </w:r>
      <w:r>
        <w:rPr>
          <w:b w:val="0"/>
          <w:highlight w:val="yellow"/>
        </w:rPr>
        <w:t>[ÍNDICE DE REAJUSTE]</w:t>
      </w:r>
      <w:r>
        <w:rPr>
          <w:b w:val="0"/>
        </w:rPr>
        <w:t>, nos termos do art. 25, § 7º, e do art. 92, § 3º, da Lei nº 14.133/2021.</w:t>
      </w:r>
    </w:p>
    <w:p>
      <w:pPr>
        <w:pStyle w:val="Heading1"/>
      </w:pPr>
      <w:r>
        <w:t>8. DA FORMA E DOS CRITÉRIOS DE SELEÇÃO DO FORNECEDOR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8.1</w:t>
        <w:tab/>
      </w:r>
      <w:r>
        <w:rPr>
          <w:b w:val="0"/>
        </w:rPr>
        <w:t>O fornecedor será selecionado por meio de licitação na modalidade pregão, na forma eletrônica, com critério de julgamento de menor preço, por tratar-se de serviço comum (arts. 6º, XLI, 29 e 33, I, da Lei nº 14.133/2021).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8.2</w:t>
        <w:tab/>
      </w:r>
      <w:r>
        <w:rPr>
          <w:b w:val="0"/>
        </w:rPr>
        <w:t xml:space="preserve">O julgamento será por </w:t>
      </w:r>
      <w:r>
        <w:rPr>
          <w:b w:val="0"/>
          <w:highlight w:val="yellow"/>
        </w:rPr>
        <w:t>[menor preço por item | menor preço global por grupo]</w:t>
      </w:r>
      <w:r>
        <w:rPr>
          <w:b w:val="0"/>
        </w:rPr>
        <w:t>. Caso se opte pelo agrupamento dos itens, a decisão deverá ser justificada no processo, à luz do art. 40, §§ 2º e 3º, da Lei nº 14.133/2021, considerando a interdependência técnica entre subscrição, implantação e treinamento.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8.3</w:t>
        <w:tab/>
      </w:r>
      <w:r>
        <w:rPr>
          <w:b w:val="0"/>
        </w:rPr>
        <w:t>Qualificação técnica (art. 67 da Lei nº 14.133/2021):</w:t>
      </w:r>
    </w:p>
    <w:p>
      <w:pPr>
        <w:pStyle w:val="ListBullet"/>
        <w:ind w:left="907"/>
        <w:jc w:val="both"/>
      </w:pPr>
      <w:r>
        <w:rPr>
          <w:b w:val="0"/>
        </w:rPr>
        <w:t>atestado(s) de capacidade técnica, emitido(s) por pessoa jurídica de direito público ou privado, que comprove(m) o fornecimento de solução SaaS de monitoramento de mídia e redes sociais com características compatíveis com o objeto, admitida a exigência de quantitativos mínimos de até 50% do estimado (art. 67, § 2º);</w:t>
      </w:r>
    </w:p>
    <w:p>
      <w:pPr>
        <w:pStyle w:val="ListBullet"/>
        <w:ind w:left="907"/>
        <w:jc w:val="both"/>
      </w:pPr>
      <w:r>
        <w:rPr>
          <w:b w:val="0"/>
        </w:rPr>
        <w:t xml:space="preserve">declaração de que os dados serão hospedados em território nacional, acompanhada de informações sobre o provedor de nuvem </w:t>
      </w:r>
      <w:r>
        <w:rPr>
          <w:b w:val="0"/>
          <w:highlight w:val="yellow"/>
        </w:rPr>
        <w:t>[a ser comprovado pela contratada]</w:t>
      </w:r>
      <w:r>
        <w:rPr>
          <w:b w:val="0"/>
        </w:rPr>
        <w:t>;</w:t>
      </w:r>
    </w:p>
    <w:p>
      <w:pPr>
        <w:pStyle w:val="ListBullet"/>
        <w:ind w:left="907"/>
        <w:jc w:val="both"/>
      </w:pPr>
      <w:r>
        <w:rPr>
          <w:b w:val="0"/>
        </w:rPr>
        <w:t>indicação de encarregado de dados ou canal equivalente para assuntos de proteção de dados pessoais.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8.4</w:t>
        <w:tab/>
      </w:r>
      <w:r>
        <w:rPr>
          <w:b w:val="0"/>
        </w:rPr>
        <w:t>A critério do órgão, poderá ser exigida prova de conceito do licitante provisoriamente classificado em primeiro lugar, para verificação de aderência aos requisitos funcionais RF-01 a RF-09, conforme roteiro e critérios objetivos definidos no edital (art. 17, § 3º, da Lei nº 14.133/2021).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8.5</w:t>
        <w:tab/>
      </w:r>
      <w:r>
        <w:rPr>
          <w:b w:val="0"/>
        </w:rPr>
        <w:t>Os demais requisitos de habilitação jurídica, fiscal, social, trabalhista e econômico-financeira serão os definidos no edital, observados os arts. 62 a 70 da Lei nº 14.133/2021.</w:t>
      </w:r>
    </w:p>
    <w:p>
      <w:pPr>
        <w:ind w:left="567"/>
      </w:pPr>
      <w:r>
        <w:rPr>
          <w:b/>
          <w:i/>
          <w:sz w:val="19"/>
        </w:rPr>
        <w:t xml:space="preserve">Nota: </w:t>
      </w:r>
      <w:r>
        <w:rPr>
          <w:i/>
          <w:color w:val="5F5F66"/>
          <w:sz w:val="19"/>
        </w:rPr>
        <w:t>Alternativas, se cabíveis e devidamente justificadas no processo: adesão a ata de registro de preços vigente (art. 86); dispensa em razão do valor, dentro dos limites do art. 75, II, atualizados anualmente por decreto; e inexigibilidade (art. 74), somente quando demonstrada a inviabilidade de competição. A escolha depende de análise do órgão e de sua assessoria jurídica.</w:t>
      </w:r>
    </w:p>
    <w:p>
      <w:pPr>
        <w:pStyle w:val="Heading1"/>
      </w:pPr>
      <w:r>
        <w:t>9. DA ESTIMATIVA DO VALOR DA CONTRATAÇÃO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9.1</w:t>
        <w:tab/>
      </w:r>
      <w:r>
        <w:rPr>
          <w:b w:val="0"/>
        </w:rPr>
        <w:t xml:space="preserve">O valor estimado da contratação é de R$ </w:t>
      </w:r>
      <w:r>
        <w:rPr>
          <w:b w:val="0"/>
          <w:highlight w:val="yellow"/>
        </w:rPr>
        <w:t>[VALOR ESTIMADO]</w:t>
      </w:r>
      <w:r>
        <w:rPr>
          <w:b w:val="0"/>
        </w:rPr>
        <w:t xml:space="preserve"> (</w:t>
      </w:r>
      <w:r>
        <w:rPr>
          <w:b w:val="0"/>
          <w:highlight w:val="yellow"/>
        </w:rPr>
        <w:t>[VALOR POR EXTENSO]</w:t>
      </w:r>
      <w:r>
        <w:rPr>
          <w:b w:val="0"/>
        </w:rPr>
        <w:t>), conforme preços unitários referenciais e memória de cálculo constantes do Anexo I e da pesquisa de preços juntada ao processo.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9.2</w:t>
        <w:tab/>
      </w:r>
      <w:r>
        <w:rPr>
          <w:b w:val="0"/>
        </w:rPr>
        <w:t>A pesquisa de preços será realizada pelo órgão nos termos do art. 23 da Lei nº 14.133/2021 e do regulamento aplicável, utilizando, de forma combinada ou não, parâmetros como: sistemas oficiais de preços, contratações similares da Administração Pública, mídias especializadas e pesquisa direta com fornecedores.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9.3</w:t>
        <w:tab/>
      </w:r>
      <w:r>
        <w:rPr>
          <w:b w:val="0"/>
        </w:rPr>
        <w:t>O órgão poderá optar pelo caráter sigiloso do orçamento estimado, mediante justificativa, nos termos do art. 24 da Lei nº 14.133/2021.</w:t>
      </w:r>
    </w:p>
    <w:p>
      <w:pPr>
        <w:pStyle w:val="Heading1"/>
      </w:pPr>
      <w:r>
        <w:t>10. DA ADEQUAÇÃO ORÇAMENTÁRIA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10.1</w:t>
        <w:tab/>
      </w:r>
      <w:r>
        <w:rPr>
          <w:b w:val="0"/>
        </w:rPr>
        <w:t xml:space="preserve">As despesas decorrentes da contratação correrão à conta dos recursos consignados no orçamento do(a) </w:t>
      </w:r>
      <w:r>
        <w:rPr>
          <w:b w:val="0"/>
          <w:highlight w:val="yellow"/>
        </w:rPr>
        <w:t>[NOME DO ÓRGÃO]</w:t>
      </w:r>
      <w:r>
        <w:rPr>
          <w:b w:val="0"/>
        </w:rPr>
        <w:t xml:space="preserve"> para o exercício de </w:t>
      </w:r>
      <w:r>
        <w:rPr>
          <w:b w:val="0"/>
          <w:highlight w:val="yellow"/>
        </w:rPr>
        <w:t>[ANO]</w:t>
      </w:r>
      <w:r>
        <w:rPr>
          <w:b w:val="0"/>
        </w:rPr>
        <w:t>, na dotação abaixo, observado o art. 150 da Lei nº 14.133/2021:</w:t>
      </w:r>
    </w:p>
    <w:p>
      <w:pPr>
        <w:pStyle w:val="ListBullet"/>
        <w:ind w:left="907"/>
        <w:jc w:val="both"/>
      </w:pPr>
      <w:r>
        <w:rPr>
          <w:b w:val="0"/>
        </w:rPr>
        <w:t xml:space="preserve">Unidade orçamentária: </w:t>
      </w:r>
      <w:r>
        <w:rPr>
          <w:b w:val="0"/>
          <w:highlight w:val="yellow"/>
        </w:rPr>
        <w:t>[UNIDADE ORÇAMENTÁRIA]</w:t>
      </w:r>
    </w:p>
    <w:p>
      <w:pPr>
        <w:pStyle w:val="ListBullet"/>
        <w:ind w:left="907"/>
        <w:jc w:val="both"/>
      </w:pPr>
      <w:r>
        <w:rPr>
          <w:b w:val="0"/>
        </w:rPr>
        <w:t xml:space="preserve">Programa de trabalho: </w:t>
      </w:r>
      <w:r>
        <w:rPr>
          <w:b w:val="0"/>
          <w:highlight w:val="yellow"/>
        </w:rPr>
        <w:t>[PROGRAMA DE TRABALHO]</w:t>
      </w:r>
    </w:p>
    <w:p>
      <w:pPr>
        <w:pStyle w:val="ListBullet"/>
        <w:ind w:left="907"/>
        <w:jc w:val="both"/>
      </w:pPr>
      <w:r>
        <w:rPr>
          <w:b w:val="0"/>
        </w:rPr>
        <w:t xml:space="preserve">Natureza da despesa: </w:t>
      </w:r>
      <w:r>
        <w:rPr>
          <w:b w:val="0"/>
          <w:highlight w:val="yellow"/>
        </w:rPr>
        <w:t>[ELEMENTO DE DESPESA]</w:t>
      </w:r>
    </w:p>
    <w:p>
      <w:pPr>
        <w:pStyle w:val="ListBullet"/>
        <w:ind w:left="907"/>
        <w:jc w:val="both"/>
      </w:pPr>
      <w:r>
        <w:rPr>
          <w:b w:val="0"/>
        </w:rPr>
        <w:t xml:space="preserve">Fonte de recursos: </w:t>
      </w:r>
      <w:r>
        <w:rPr>
          <w:b w:val="0"/>
          <w:highlight w:val="yellow"/>
        </w:rPr>
        <w:t>[FONTE]</w:t>
      </w:r>
    </w:p>
    <w:p>
      <w:pPr>
        <w:tabs>
          <w:tab w:pos="567" w:val="left"/>
        </w:tabs>
        <w:ind w:left="567" w:hanging="567"/>
        <w:jc w:val="both"/>
      </w:pPr>
      <w:r>
        <w:rPr>
          <w:b/>
        </w:rPr>
        <w:t>10.2</w:t>
        <w:tab/>
      </w:r>
      <w:r>
        <w:rPr>
          <w:b w:val="0"/>
        </w:rPr>
        <w:t>Nos exercícios seguintes, as despesas correrão à conta dos recursos próprios para atender às despesas da mesma natureza, cuja alocação será feita no início de cada exercício financeiro.</w:t>
      </w:r>
    </w:p>
    <w:p>
      <w:r>
        <w:br w:type="page"/>
      </w:r>
    </w:p>
    <w:p>
      <w:pPr>
        <w:pStyle w:val="Heading1"/>
      </w:pPr>
      <w:r>
        <w:t>ANEXO I — PLANILHA DE ITENS</w:t>
      </w:r>
    </w:p>
    <w:p>
      <w:pPr>
        <w:jc w:val="both"/>
      </w:pPr>
      <w:r>
        <w:rPr>
          <w:b w:val="0"/>
        </w:rPr>
        <w:t>Os itens 1, 2 e 3 são alternativos: o órgão deve manter apenas a faixa compatível com o dimensionamento do Estudo Técnico Preliminar. Valores unitários a preencher com base na pesquisa de preços.</w:t>
      </w:r>
    </w:p>
    <w:p>
      <w:pPr>
        <w:keepNext/>
        <w:spacing w:before="120"/>
      </w:pPr>
      <w:r>
        <w:rPr>
          <w:b/>
          <w:sz w:val="18"/>
        </w:rPr>
        <w:t>Tabela 3 — Itens da contratação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59"/>
        <w:gridCol w:w="1559"/>
        <w:gridCol w:w="1559"/>
        <w:gridCol w:w="1559"/>
        <w:gridCol w:w="1559"/>
        <w:gridCol w:w="1559"/>
      </w:tblGrid>
      <w:tr>
        <w:trPr>
          <w:tblHeader w:val="true"/>
        </w:trPr>
        <w:tc>
          <w:tcPr>
            <w:tcW w:type="dxa" w:w="1559"/>
            <w:shd w:val="clear" w:color="auto" w:fill="2450E6"/>
          </w:tcPr>
          <w:p>
            <w:r/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1559"/>
            <w:shd w:val="clear" w:color="auto" w:fill="2450E6"/>
          </w:tcPr>
          <w:p>
            <w:r/>
            <w:r>
              <w:rPr>
                <w:b/>
                <w:color w:val="FFFFFF"/>
                <w:sz w:val="17"/>
              </w:rPr>
              <w:t>Descrição</w:t>
            </w:r>
          </w:p>
        </w:tc>
        <w:tc>
          <w:tcPr>
            <w:tcW w:type="dxa" w:w="1559"/>
            <w:shd w:val="clear" w:color="auto" w:fill="2450E6"/>
          </w:tcPr>
          <w:p>
            <w:r/>
            <w:r>
              <w:rPr>
                <w:b/>
                <w:color w:val="FFFFFF"/>
                <w:sz w:val="17"/>
              </w:rPr>
              <w:t>Unidade</w:t>
            </w:r>
          </w:p>
        </w:tc>
        <w:tc>
          <w:tcPr>
            <w:tcW w:type="dxa" w:w="1559"/>
            <w:shd w:val="clear" w:color="auto" w:fill="2450E6"/>
          </w:tcPr>
          <w:p>
            <w:r/>
            <w:r>
              <w:rPr>
                <w:b/>
                <w:color w:val="FFFFFF"/>
                <w:sz w:val="17"/>
              </w:rPr>
              <w:t>Qtd.</w:t>
            </w:r>
          </w:p>
        </w:tc>
        <w:tc>
          <w:tcPr>
            <w:tcW w:type="dxa" w:w="1559"/>
            <w:shd w:val="clear" w:color="auto" w:fill="2450E6"/>
          </w:tcPr>
          <w:p>
            <w:r/>
            <w:r>
              <w:rPr>
                <w:b/>
                <w:color w:val="FFFFFF"/>
                <w:sz w:val="17"/>
              </w:rPr>
              <w:t>Valor unitário (R$)</w:t>
            </w:r>
          </w:p>
        </w:tc>
        <w:tc>
          <w:tcPr>
            <w:tcW w:type="dxa" w:w="1559"/>
            <w:shd w:val="clear" w:color="auto" w:fill="2450E6"/>
          </w:tcPr>
          <w:p>
            <w:r/>
            <w:r>
              <w:rPr>
                <w:b/>
                <w:color w:val="FFFFFF"/>
                <w:sz w:val="17"/>
              </w:rPr>
              <w:t>Valor total (R$)</w:t>
            </w:r>
          </w:p>
        </w:tc>
      </w:tr>
      <w:tr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1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Subscrição anual de solução SaaS de monitoramento e inteligência de imagem pública — Faixa A (até 25 entidades monitoradas e 15 usuários)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assinatura anual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</w:tr>
      <w:tr>
        <w:tc>
          <w:tcPr>
            <w:tcW w:type="dxa" w:w="155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2</w:t>
            </w:r>
          </w:p>
        </w:tc>
        <w:tc>
          <w:tcPr>
            <w:tcW w:type="dxa" w:w="155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Subscrição anual de solução SaaS de monitoramento e inteligência de imagem pública — Faixa B (até 80 entidades monitoradas e 50 usuários)</w:t>
            </w:r>
          </w:p>
        </w:tc>
        <w:tc>
          <w:tcPr>
            <w:tcW w:type="dxa" w:w="155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assinatura anual</w:t>
            </w:r>
          </w:p>
        </w:tc>
        <w:tc>
          <w:tcPr>
            <w:tcW w:type="dxa" w:w="155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  <w:tc>
          <w:tcPr>
            <w:tcW w:type="dxa" w:w="155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  <w:tc>
          <w:tcPr>
            <w:tcW w:type="dxa" w:w="155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</w:tr>
      <w:tr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3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Subscrição anual de solução SaaS — Faixa C (múltiplos órgãos/unidades, conforme dimensionamento do ETP)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assinatura anual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</w:tr>
      <w:tr>
        <w:tc>
          <w:tcPr>
            <w:tcW w:type="dxa" w:w="155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4</w:t>
            </w:r>
          </w:p>
        </w:tc>
        <w:tc>
          <w:tcPr>
            <w:tcW w:type="dxa" w:w="155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Serviço de implantação (configuração de entidades, fontes, perfis de acesso, identidade visual e playbooks)</w:t>
            </w:r>
          </w:p>
        </w:tc>
        <w:tc>
          <w:tcPr>
            <w:tcW w:type="dxa" w:w="155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serviço</w:t>
            </w:r>
          </w:p>
        </w:tc>
        <w:tc>
          <w:tcPr>
            <w:tcW w:type="dxa" w:w="155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1</w:t>
            </w:r>
          </w:p>
        </w:tc>
        <w:tc>
          <w:tcPr>
            <w:tcW w:type="dxa" w:w="155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  <w:tc>
          <w:tcPr>
            <w:tcW w:type="dxa" w:w="155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</w:tr>
      <w:tr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5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 xml:space="preserve">Treinamento de usuários (turma de até </w:t>
            </w:r>
            <w:r>
              <w:rPr>
                <w:b w:val="0"/>
                <w:sz w:val="17"/>
                <w:highlight w:val="yellow"/>
              </w:rPr>
              <w:t>[20]</w:t>
            </w:r>
            <w:r>
              <w:rPr>
                <w:b w:val="0"/>
                <w:sz w:val="17"/>
              </w:rPr>
              <w:t xml:space="preserve"> participantes, carga horária de </w:t>
            </w:r>
            <w:r>
              <w:rPr>
                <w:b w:val="0"/>
                <w:sz w:val="17"/>
                <w:highlight w:val="yellow"/>
              </w:rPr>
              <w:t>[4]</w:t>
            </w:r>
            <w:r>
              <w:rPr>
                <w:b w:val="0"/>
                <w:sz w:val="17"/>
              </w:rPr>
              <w:t xml:space="preserve"> horas)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turma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</w:tr>
      <w:tr>
        <w:tc>
          <w:tcPr>
            <w:tcW w:type="dxa" w:w="155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6</w:t>
            </w:r>
          </w:p>
        </w:tc>
        <w:tc>
          <w:tcPr>
            <w:tcW w:type="dxa" w:w="155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Pesquisa de percepção adicional com página pública, QR Code, georreferenciamento e relatório</w:t>
            </w:r>
          </w:p>
        </w:tc>
        <w:tc>
          <w:tcPr>
            <w:tcW w:type="dxa" w:w="155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pesquisa</w:t>
            </w:r>
          </w:p>
        </w:tc>
        <w:tc>
          <w:tcPr>
            <w:tcW w:type="dxa" w:w="155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  <w:tc>
          <w:tcPr>
            <w:tcW w:type="dxa" w:w="155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  <w:tc>
          <w:tcPr>
            <w:tcW w:type="dxa" w:w="1559"/>
            <w:shd w:val="clear" w:color="auto" w:fill="F2F4FA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</w:tr>
      <w:tr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7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Entidade monitorada adicional (além do limite da faixa contratada)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</w:rPr>
              <w:t>entidade/mês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  <w:tc>
          <w:tcPr>
            <w:tcW w:type="dxa" w:w="1559"/>
          </w:tcPr>
          <w:p>
            <w:pPr>
              <w:spacing w:after="40"/>
            </w:pPr>
            <w:r/>
            <w:r>
              <w:rPr>
                <w:b w:val="0"/>
                <w:sz w:val="17"/>
                <w:highlight w:val="yellow"/>
              </w:rPr>
              <w:t>[ 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 xml:space="preserve">Valor total estimado: R$ </w:t>
      </w:r>
      <w:r>
        <w:rPr>
          <w:b w:val="0"/>
          <w:highlight w:val="yellow"/>
        </w:rPr>
        <w:t>[VALOR ESTIMADO]</w:t>
      </w:r>
      <w:r>
        <w:rPr>
          <w:b w:val="0"/>
        </w:rPr>
        <w:t>.</w:t>
      </w:r>
    </w:p>
    <w:p>
      <w:pPr>
        <w:spacing w:before="720"/>
        <w:jc w:val="center"/>
      </w:pPr>
      <w:r>
        <w:rPr>
          <w:b w:val="0"/>
          <w:highlight w:val="yellow"/>
        </w:rPr>
        <w:t>[MUNICÍPIO/UF]</w:t>
      </w:r>
      <w:r>
        <w:rPr>
          <w:b w:val="0"/>
        </w:rPr>
        <w:t xml:space="preserve">, </w:t>
      </w:r>
      <w:r>
        <w:rPr>
          <w:b w:val="0"/>
          <w:highlight w:val="yellow"/>
        </w:rPr>
        <w:t>[DATA]</w:t>
      </w:r>
      <w:r>
        <w:rPr>
          <w:b w:val="0"/>
        </w:rPr>
        <w:br/>
        <w:br/>
        <w:br/>
        <w:t>______________________________________</w:t>
        <w:br/>
      </w:r>
      <w:r>
        <w:rPr>
          <w:b w:val="0"/>
          <w:highlight w:val="yellow"/>
        </w:rPr>
        <w:t>[NOME DO RESPONSÁVEL]</w:t>
      </w:r>
      <w:r>
        <w:rPr>
          <w:b w:val="0"/>
        </w:rPr>
        <w:br/>
      </w:r>
      <w:r>
        <w:rPr>
          <w:b w:val="0"/>
          <w:highlight w:val="yellow"/>
        </w:rPr>
        <w:t>[CARGO]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5F5F66"/>
        <w:sz w:val="16"/>
      </w:rPr>
      <w:t>Modelo de referência. Adapte à realidade do órgão e submeta à assessoria jurídica.</w:t>
    </w:r>
  </w:p>
  <w:p>
    <w:pPr>
      <w:jc w:val="right"/>
    </w:pPr>
    <w:r>
      <w:rPr>
        <w:sz w:val="16"/>
      </w:rPr>
      <w:t xml:space="preserve">Página </w:t>
    </w:r>
    <w:r>
      <w:rPr>
        <w:sz w:val="16"/>
      </w:rPr>
      <w:fldChar w:fldCharType="begin"/>
      <w:instrText xml:space="preserve">PAGE</w:instrText>
      <w:fldChar w:fldCharType="end"/>
    </w:r>
    <w:r>
      <w:rPr>
        <w:sz w:val="16"/>
      </w:rPr>
      <w:t xml:space="preserve"> de </w:t>
    </w:r>
    <w:r>
      <w:rPr>
        <w:sz w:val="16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5F5F66"/>
        <w:sz w:val="16"/>
      </w:rPr>
      <w:t>Modelo de Termo de Referência — OPIAN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color w:val="18181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 w:ascii="Calibri" w:hAnsi="Calibri" w:eastAsia="Calibri" w:cs="Calibri"/>
      <w:b/>
      <w:bCs/>
      <w:color w:val="2450E6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 w:eastAsia="Calibri" w:cs="Calibri"/>
      <w:b/>
      <w:bCs/>
      <w:color w:val="18181B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 w:cs="Calibri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Referência — OPIAN (modelo)</dc:title>
  <dc:subject>Contratação de solução de software como serviço (SaaS) para monitoramento, análise e inteligência de imagem pública institucional, com implantação, treinamento e suporte técnico.</dc:subject>
  <dc:creator>OPIAN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